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TableContents"/>
              <w:spacing w:lineRule="auto" w:line="312"/>
              <w:ind w:left="0" w:right="0" w:firstLine="5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Статья 273. Переход права на земельный участок при отчуждении находящихся на нем зданий или сооружений</w:t>
            </w:r>
          </w:p>
          <w:p/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spacing w:lineRule="auto" w:line="312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При переходе права собственности на здание или сооружение, принадлежавшее собственнику земельного участка, на котором оно находится, к приобретателю здания или сооружения переходит право собственности на земельный участок, занятый зданием или сооружением и необходимый для его использования, если иное не предусмотрено законом.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lineRule="auto" w:line="264"/>
        <w:jc w:val="both"/>
        <w:rPr>
          <w:rFonts w:ascii="Times New Roman" w:hAnsi="Times New Roman"/>
          <w:b w:val="false"/>
          <w:color w:val="828282"/>
          <w:sz w:val="21"/>
        </w:rPr>
      </w:pPr>
      <w:r>
        <w:rPr>
          <w:rFonts w:ascii="Times New Roman" w:hAnsi="Times New Roman"/>
          <w:b w:val="false"/>
          <w:color w:val="828282"/>
          <w:sz w:val="21"/>
        </w:rPr>
        <w:t>(в ред. Федерального закона от 26.06.2007 N 118-ФЗ)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Часть вторая утратила силу. - Федеральный закон от 26.06.2007 N 118-ФЗ.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lineRule="auto" w:line="312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КонсультантПлюс: примечание.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 некоторых вопросах практики по делам об установлении сервитута на земельный участок см. Обзор судебной практики Верховного Суда РФ.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spacing w:before="0" w:after="14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LibreOffice/5.1.4.2$Linux_X86_64 LibreOffice_project/10m0$Build-2</Application>
  <Pages>1</Pages>
  <Words>96</Words>
  <Characters>622</Characters>
  <CharactersWithSpaces>714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2018-01-24T15:18:41Z</dcterms:modified>
  <cp:revision>2</cp:revision>
  <dc:subject/>
  <dc:title/>
</cp:coreProperties>
</file>